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5DA0" w14:textId="21E38253" w:rsidR="00A87586" w:rsidRDefault="00A87586"/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  <w:gridCol w:w="284"/>
        <w:gridCol w:w="1984"/>
      </w:tblGrid>
      <w:tr w:rsidR="00A5548B" w:rsidRPr="00A5548B" w14:paraId="5961E774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6048DE28" w14:textId="2E0B98D0" w:rsidR="00A5548B" w:rsidRPr="00222BB0" w:rsidRDefault="00A5548B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 xml:space="preserve">Investment assets at 31 </w:t>
            </w:r>
            <w:r w:rsidR="00C215CA">
              <w:rPr>
                <w:b/>
                <w:bCs/>
                <w:sz w:val="20"/>
                <w:szCs w:val="20"/>
              </w:rPr>
              <w:t>July</w:t>
            </w:r>
            <w:r w:rsidRPr="00222BB0">
              <w:rPr>
                <w:b/>
                <w:bCs/>
                <w:sz w:val="20"/>
                <w:szCs w:val="20"/>
              </w:rPr>
              <w:t xml:space="preserve"> 202</w:t>
            </w:r>
            <w:r w:rsidR="00AC1125" w:rsidRPr="00222BB0">
              <w:rPr>
                <w:b/>
                <w:bCs/>
                <w:sz w:val="20"/>
                <w:szCs w:val="20"/>
              </w:rPr>
              <w:t>5</w:t>
            </w:r>
            <w:r w:rsidRPr="00222BB0">
              <w:rPr>
                <w:b/>
                <w:bCs/>
                <w:sz w:val="20"/>
                <w:szCs w:val="20"/>
              </w:rPr>
              <w:t xml:space="preserve"> are comprised of:</w:t>
            </w:r>
          </w:p>
        </w:tc>
        <w:tc>
          <w:tcPr>
            <w:tcW w:w="1843" w:type="dxa"/>
            <w:noWrap/>
            <w:hideMark/>
          </w:tcPr>
          <w:p w14:paraId="667F8EA1" w14:textId="7ADEED2F" w:rsidR="00A5548B" w:rsidRPr="00222BB0" w:rsidRDefault="00A5548B" w:rsidP="00A554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J</w:t>
            </w:r>
            <w:r w:rsidR="00DC458B" w:rsidRPr="00222BB0">
              <w:rPr>
                <w:b/>
                <w:bCs/>
                <w:sz w:val="20"/>
                <w:szCs w:val="20"/>
              </w:rPr>
              <w:t>ul</w:t>
            </w:r>
            <w:r w:rsidR="00AC1125" w:rsidRPr="00222BB0">
              <w:rPr>
                <w:b/>
                <w:bCs/>
                <w:sz w:val="20"/>
                <w:szCs w:val="20"/>
              </w:rPr>
              <w:t>-25</w:t>
            </w:r>
          </w:p>
        </w:tc>
        <w:tc>
          <w:tcPr>
            <w:tcW w:w="284" w:type="dxa"/>
            <w:noWrap/>
            <w:hideMark/>
          </w:tcPr>
          <w:p w14:paraId="468F981F" w14:textId="77777777" w:rsidR="00A5548B" w:rsidRPr="00222BB0" w:rsidRDefault="00A5548B" w:rsidP="00A554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0DCBAABE" w14:textId="21BD66AB" w:rsidR="00A5548B" w:rsidRPr="00222BB0" w:rsidRDefault="00AC1125" w:rsidP="00A5548B">
            <w:pPr>
              <w:jc w:val="center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J</w:t>
            </w:r>
            <w:r w:rsidR="00DC458B" w:rsidRPr="00222BB0">
              <w:rPr>
                <w:b/>
                <w:bCs/>
                <w:sz w:val="20"/>
                <w:szCs w:val="20"/>
              </w:rPr>
              <w:t>an</w:t>
            </w:r>
            <w:r w:rsidRPr="00222BB0">
              <w:rPr>
                <w:b/>
                <w:bCs/>
                <w:sz w:val="20"/>
                <w:szCs w:val="20"/>
              </w:rPr>
              <w:t>-2</w:t>
            </w:r>
            <w:r w:rsidR="00DC458B" w:rsidRPr="00222BB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5548B" w:rsidRPr="00A5548B" w14:paraId="0D9F3061" w14:textId="77777777" w:rsidTr="00A5548B">
        <w:trPr>
          <w:trHeight w:val="300"/>
        </w:trPr>
        <w:tc>
          <w:tcPr>
            <w:tcW w:w="6232" w:type="dxa"/>
            <w:noWrap/>
            <w:hideMark/>
          </w:tcPr>
          <w:p w14:paraId="1BF94255" w14:textId="77777777" w:rsidR="00A5548B" w:rsidRPr="00222BB0" w:rsidRDefault="00A5548B" w:rsidP="00A554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14:paraId="44726DA7" w14:textId="77777777" w:rsidR="00A5548B" w:rsidRPr="00222BB0" w:rsidRDefault="00A5548B" w:rsidP="00A5548B">
            <w:pPr>
              <w:jc w:val="center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£ 000's</w:t>
            </w:r>
          </w:p>
        </w:tc>
        <w:tc>
          <w:tcPr>
            <w:tcW w:w="284" w:type="dxa"/>
            <w:noWrap/>
            <w:hideMark/>
          </w:tcPr>
          <w:p w14:paraId="74E5710A" w14:textId="77777777" w:rsidR="00A5548B" w:rsidRPr="00222BB0" w:rsidRDefault="00A5548B" w:rsidP="00A5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212E7084" w14:textId="77777777" w:rsidR="00A5548B" w:rsidRPr="00222BB0" w:rsidRDefault="00A5548B" w:rsidP="00A5548B">
            <w:pPr>
              <w:jc w:val="center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£ 000's</w:t>
            </w:r>
          </w:p>
        </w:tc>
      </w:tr>
      <w:tr w:rsidR="00A5548B" w:rsidRPr="00A5548B" w14:paraId="7ABD31AA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2F0FA419" w14:textId="77777777" w:rsidR="00A5548B" w:rsidRPr="00222BB0" w:rsidRDefault="00A5548B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University of Edinburgh Endowment and Investment Fund</w:t>
            </w:r>
          </w:p>
        </w:tc>
        <w:tc>
          <w:tcPr>
            <w:tcW w:w="1843" w:type="dxa"/>
            <w:noWrap/>
            <w:hideMark/>
          </w:tcPr>
          <w:p w14:paraId="06172907" w14:textId="77777777" w:rsidR="00A5548B" w:rsidRPr="00222BB0" w:rsidRDefault="00A554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noWrap/>
            <w:hideMark/>
          </w:tcPr>
          <w:p w14:paraId="418DB222" w14:textId="77777777" w:rsidR="00A5548B" w:rsidRPr="00222BB0" w:rsidRDefault="00A5548B" w:rsidP="00A5548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73F78BDA" w14:textId="77777777" w:rsidR="00A5548B" w:rsidRPr="00222BB0" w:rsidRDefault="00A5548B" w:rsidP="00A5548B">
            <w:pPr>
              <w:rPr>
                <w:sz w:val="20"/>
                <w:szCs w:val="20"/>
              </w:rPr>
            </w:pPr>
          </w:p>
        </w:tc>
      </w:tr>
      <w:tr w:rsidR="002379B7" w:rsidRPr="00A5548B" w14:paraId="12FEC7A4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4727302F" w14:textId="77777777" w:rsidR="002379B7" w:rsidRPr="00222BB0" w:rsidRDefault="002379B7" w:rsidP="002379B7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Equities</w:t>
            </w:r>
          </w:p>
        </w:tc>
        <w:tc>
          <w:tcPr>
            <w:tcW w:w="1843" w:type="dxa"/>
            <w:noWrap/>
            <w:hideMark/>
          </w:tcPr>
          <w:p w14:paraId="4570446E" w14:textId="4F5F5701" w:rsidR="002379B7" w:rsidRPr="00222BB0" w:rsidRDefault="002379B7" w:rsidP="002379B7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 xml:space="preserve"> 259,291 </w:t>
            </w:r>
          </w:p>
        </w:tc>
        <w:tc>
          <w:tcPr>
            <w:tcW w:w="284" w:type="dxa"/>
            <w:noWrap/>
            <w:hideMark/>
          </w:tcPr>
          <w:p w14:paraId="7EFE0321" w14:textId="77777777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71CAFAA7" w14:textId="0E54711D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258,010</w:t>
            </w:r>
          </w:p>
        </w:tc>
      </w:tr>
      <w:tr w:rsidR="002379B7" w:rsidRPr="00A5548B" w14:paraId="1BE41A4A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33D9281" w14:textId="77777777" w:rsidR="002379B7" w:rsidRPr="00222BB0" w:rsidRDefault="002379B7" w:rsidP="002379B7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Fixed interest stocks</w:t>
            </w:r>
          </w:p>
        </w:tc>
        <w:tc>
          <w:tcPr>
            <w:tcW w:w="1843" w:type="dxa"/>
            <w:noWrap/>
            <w:hideMark/>
          </w:tcPr>
          <w:p w14:paraId="7C2A33FA" w14:textId="7CC3F5F6" w:rsidR="002379B7" w:rsidRPr="00222BB0" w:rsidRDefault="002379B7" w:rsidP="002379B7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 xml:space="preserve"> 15,979 </w:t>
            </w:r>
          </w:p>
        </w:tc>
        <w:tc>
          <w:tcPr>
            <w:tcW w:w="284" w:type="dxa"/>
            <w:noWrap/>
            <w:hideMark/>
          </w:tcPr>
          <w:p w14:paraId="7A190B35" w14:textId="77777777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2DCFE72B" w14:textId="5DFCE28E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17,477</w:t>
            </w:r>
          </w:p>
        </w:tc>
      </w:tr>
      <w:tr w:rsidR="002379B7" w:rsidRPr="00A5548B" w14:paraId="6BA2C36C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8D14F2B" w14:textId="77777777" w:rsidR="002379B7" w:rsidRPr="00222BB0" w:rsidRDefault="002379B7" w:rsidP="002379B7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Property</w:t>
            </w:r>
          </w:p>
        </w:tc>
        <w:tc>
          <w:tcPr>
            <w:tcW w:w="1843" w:type="dxa"/>
            <w:noWrap/>
            <w:hideMark/>
          </w:tcPr>
          <w:p w14:paraId="30D6E6A2" w14:textId="5012357A" w:rsidR="002379B7" w:rsidRPr="00222BB0" w:rsidRDefault="002379B7" w:rsidP="002379B7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 xml:space="preserve"> 88,378 </w:t>
            </w:r>
          </w:p>
        </w:tc>
        <w:tc>
          <w:tcPr>
            <w:tcW w:w="284" w:type="dxa"/>
            <w:noWrap/>
            <w:hideMark/>
          </w:tcPr>
          <w:p w14:paraId="3F5AAFAA" w14:textId="77777777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1511EC4B" w14:textId="257FC2DF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87,520</w:t>
            </w:r>
          </w:p>
        </w:tc>
      </w:tr>
      <w:tr w:rsidR="002379B7" w:rsidRPr="00A5548B" w14:paraId="0CE13935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E2FFFB1" w14:textId="77777777" w:rsidR="002379B7" w:rsidRPr="00222BB0" w:rsidRDefault="002379B7" w:rsidP="002379B7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Multi asset</w:t>
            </w:r>
          </w:p>
        </w:tc>
        <w:tc>
          <w:tcPr>
            <w:tcW w:w="1843" w:type="dxa"/>
            <w:noWrap/>
            <w:hideMark/>
          </w:tcPr>
          <w:p w14:paraId="72711412" w14:textId="70987985" w:rsidR="002379B7" w:rsidRPr="00222BB0" w:rsidRDefault="002379B7" w:rsidP="002379B7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 xml:space="preserve"> 157,346 </w:t>
            </w:r>
          </w:p>
        </w:tc>
        <w:tc>
          <w:tcPr>
            <w:tcW w:w="284" w:type="dxa"/>
            <w:noWrap/>
            <w:hideMark/>
          </w:tcPr>
          <w:p w14:paraId="771BF085" w14:textId="77777777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05E7136F" w14:textId="59E58B25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156,006</w:t>
            </w:r>
          </w:p>
        </w:tc>
      </w:tr>
      <w:tr w:rsidR="002379B7" w:rsidRPr="00A5548B" w14:paraId="7FB13F47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375C5C5A" w14:textId="77777777" w:rsidR="002379B7" w:rsidRPr="00222BB0" w:rsidRDefault="002379B7" w:rsidP="002379B7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Venture capital</w:t>
            </w:r>
          </w:p>
        </w:tc>
        <w:tc>
          <w:tcPr>
            <w:tcW w:w="1843" w:type="dxa"/>
            <w:noWrap/>
            <w:hideMark/>
          </w:tcPr>
          <w:p w14:paraId="6D4FC814" w14:textId="15A8C2D5" w:rsidR="002379B7" w:rsidRPr="00222BB0" w:rsidRDefault="002379B7" w:rsidP="002379B7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 xml:space="preserve"> 26,735 </w:t>
            </w:r>
          </w:p>
        </w:tc>
        <w:tc>
          <w:tcPr>
            <w:tcW w:w="284" w:type="dxa"/>
            <w:noWrap/>
            <w:hideMark/>
          </w:tcPr>
          <w:p w14:paraId="28BB89DF" w14:textId="77777777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3DA50B5A" w14:textId="6CD438E1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28,838</w:t>
            </w:r>
          </w:p>
        </w:tc>
      </w:tr>
      <w:tr w:rsidR="002379B7" w:rsidRPr="00A5548B" w14:paraId="401F71E7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4DD580DA" w14:textId="77777777" w:rsidR="002379B7" w:rsidRPr="00222BB0" w:rsidRDefault="002379B7" w:rsidP="002379B7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Cash and working capital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12BD00FE" w14:textId="72E46075" w:rsidR="002379B7" w:rsidRPr="00222BB0" w:rsidRDefault="002379B7" w:rsidP="002379B7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 xml:space="preserve"> 29,852 </w:t>
            </w:r>
          </w:p>
        </w:tc>
        <w:tc>
          <w:tcPr>
            <w:tcW w:w="284" w:type="dxa"/>
            <w:noWrap/>
            <w:hideMark/>
          </w:tcPr>
          <w:p w14:paraId="77DBC2EC" w14:textId="77777777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44D1CFD8" w14:textId="4F7702E3" w:rsidR="002379B7" w:rsidRPr="00222BB0" w:rsidRDefault="002379B7" w:rsidP="002379B7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6,523</w:t>
            </w:r>
          </w:p>
        </w:tc>
      </w:tr>
      <w:tr w:rsidR="00A5548B" w:rsidRPr="00A5548B" w14:paraId="2F1950FC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1617BFE" w14:textId="77777777" w:rsidR="00A5548B" w:rsidRPr="00222BB0" w:rsidRDefault="00A5548B" w:rsidP="00A554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DE8747" w14:textId="49FAF4FF" w:rsidR="00A5548B" w:rsidRPr="00222BB0" w:rsidRDefault="002379B7" w:rsidP="00A5548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222BB0">
              <w:rPr>
                <w:b/>
                <w:bCs/>
                <w:sz w:val="20"/>
                <w:szCs w:val="20"/>
              </w:rPr>
              <w:t>577,581</w:t>
            </w:r>
          </w:p>
        </w:tc>
        <w:tc>
          <w:tcPr>
            <w:tcW w:w="284" w:type="dxa"/>
            <w:noWrap/>
            <w:hideMark/>
          </w:tcPr>
          <w:p w14:paraId="6AF89DFC" w14:textId="77777777" w:rsidR="00A5548B" w:rsidRPr="00222BB0" w:rsidRDefault="00A5548B" w:rsidP="00A554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D1BBAA" w14:textId="6FEB5AAD" w:rsidR="00A5548B" w:rsidRPr="00222BB0" w:rsidRDefault="002379B7" w:rsidP="00A5548B">
            <w:pPr>
              <w:jc w:val="right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554,374</w:t>
            </w:r>
          </w:p>
        </w:tc>
      </w:tr>
      <w:tr w:rsidR="00A5548B" w:rsidRPr="00A5548B" w14:paraId="5C9D9093" w14:textId="77777777" w:rsidTr="002379B7">
        <w:trPr>
          <w:trHeight w:val="441"/>
        </w:trPr>
        <w:tc>
          <w:tcPr>
            <w:tcW w:w="6232" w:type="dxa"/>
            <w:noWrap/>
            <w:hideMark/>
          </w:tcPr>
          <w:p w14:paraId="7944A06C" w14:textId="77777777" w:rsidR="00A5548B" w:rsidRPr="00222BB0" w:rsidRDefault="00A5548B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Other investments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58CB3702" w14:textId="77777777" w:rsidR="00A5548B" w:rsidRPr="00222BB0" w:rsidRDefault="00A5548B" w:rsidP="00A5548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noWrap/>
            <w:hideMark/>
          </w:tcPr>
          <w:p w14:paraId="070A3799" w14:textId="77777777" w:rsidR="00A5548B" w:rsidRPr="00222BB0" w:rsidRDefault="00A5548B" w:rsidP="00A554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2E03A354" w14:textId="77777777" w:rsidR="00A5548B" w:rsidRPr="00222BB0" w:rsidRDefault="00A5548B" w:rsidP="00A5548B">
            <w:pPr>
              <w:jc w:val="right"/>
              <w:rPr>
                <w:sz w:val="20"/>
                <w:szCs w:val="20"/>
              </w:rPr>
            </w:pPr>
          </w:p>
        </w:tc>
      </w:tr>
      <w:tr w:rsidR="00222BB0" w:rsidRPr="00A5548B" w14:paraId="43A144B1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23C0470C" w14:textId="77777777" w:rsidR="00222BB0" w:rsidRPr="00222BB0" w:rsidRDefault="00222BB0" w:rsidP="00222BB0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Foreign equity</w:t>
            </w:r>
          </w:p>
        </w:tc>
        <w:tc>
          <w:tcPr>
            <w:tcW w:w="1843" w:type="dxa"/>
            <w:noWrap/>
            <w:hideMark/>
          </w:tcPr>
          <w:p w14:paraId="22726390" w14:textId="569F6CBF" w:rsidR="00222BB0" w:rsidRPr="00222BB0" w:rsidRDefault="00222BB0" w:rsidP="00222BB0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>1,893</w:t>
            </w:r>
          </w:p>
        </w:tc>
        <w:tc>
          <w:tcPr>
            <w:tcW w:w="284" w:type="dxa"/>
            <w:noWrap/>
            <w:hideMark/>
          </w:tcPr>
          <w:p w14:paraId="19625ABD" w14:textId="77777777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6D3FCCD0" w14:textId="24CF0CAB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1,794</w:t>
            </w:r>
          </w:p>
        </w:tc>
      </w:tr>
      <w:tr w:rsidR="00222BB0" w:rsidRPr="00A5548B" w14:paraId="6A784D08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CD52154" w14:textId="77777777" w:rsidR="00222BB0" w:rsidRPr="00222BB0" w:rsidRDefault="00222BB0" w:rsidP="00222BB0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Fixed interest stocks</w:t>
            </w:r>
          </w:p>
        </w:tc>
        <w:tc>
          <w:tcPr>
            <w:tcW w:w="1843" w:type="dxa"/>
            <w:noWrap/>
            <w:hideMark/>
          </w:tcPr>
          <w:p w14:paraId="376C63FD" w14:textId="6B7CFE4F" w:rsidR="00222BB0" w:rsidRPr="00222BB0" w:rsidRDefault="00222BB0" w:rsidP="00222BB0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>234,089</w:t>
            </w:r>
          </w:p>
        </w:tc>
        <w:tc>
          <w:tcPr>
            <w:tcW w:w="284" w:type="dxa"/>
            <w:noWrap/>
            <w:hideMark/>
          </w:tcPr>
          <w:p w14:paraId="5444BDE5" w14:textId="77777777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6C35E3FD" w14:textId="5F528C4E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359,259</w:t>
            </w:r>
          </w:p>
        </w:tc>
      </w:tr>
      <w:tr w:rsidR="00222BB0" w:rsidRPr="00A5548B" w14:paraId="7067F54B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243009F1" w14:textId="77777777" w:rsidR="00222BB0" w:rsidRPr="00222BB0" w:rsidRDefault="00222BB0" w:rsidP="00222BB0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Asset backed security</w:t>
            </w:r>
          </w:p>
        </w:tc>
        <w:tc>
          <w:tcPr>
            <w:tcW w:w="1843" w:type="dxa"/>
            <w:noWrap/>
            <w:hideMark/>
          </w:tcPr>
          <w:p w14:paraId="61FA3AD1" w14:textId="4EA03E53" w:rsidR="00222BB0" w:rsidRPr="00222BB0" w:rsidRDefault="00222BB0" w:rsidP="00222BB0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>103,521</w:t>
            </w:r>
          </w:p>
        </w:tc>
        <w:tc>
          <w:tcPr>
            <w:tcW w:w="284" w:type="dxa"/>
            <w:noWrap/>
            <w:hideMark/>
          </w:tcPr>
          <w:p w14:paraId="57AF3CB7" w14:textId="77777777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78B91BAF" w14:textId="54EA9AEA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110,626</w:t>
            </w:r>
          </w:p>
        </w:tc>
      </w:tr>
      <w:tr w:rsidR="00222BB0" w:rsidRPr="00A5548B" w14:paraId="54716D35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F3A2DAA" w14:textId="77777777" w:rsidR="00222BB0" w:rsidRPr="00222BB0" w:rsidRDefault="00222BB0" w:rsidP="00222BB0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Venture capital</w:t>
            </w:r>
          </w:p>
        </w:tc>
        <w:tc>
          <w:tcPr>
            <w:tcW w:w="1843" w:type="dxa"/>
            <w:noWrap/>
            <w:hideMark/>
          </w:tcPr>
          <w:p w14:paraId="55F6B07E" w14:textId="7F92B7A8" w:rsidR="00222BB0" w:rsidRPr="00222BB0" w:rsidRDefault="00222BB0" w:rsidP="00222BB0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>14,070</w:t>
            </w:r>
          </w:p>
        </w:tc>
        <w:tc>
          <w:tcPr>
            <w:tcW w:w="284" w:type="dxa"/>
            <w:noWrap/>
            <w:hideMark/>
          </w:tcPr>
          <w:p w14:paraId="73DDB487" w14:textId="77777777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1B638852" w14:textId="6097A716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16,550</w:t>
            </w:r>
          </w:p>
        </w:tc>
      </w:tr>
      <w:tr w:rsidR="00222BB0" w:rsidRPr="00A5548B" w14:paraId="6344590A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1E7765AB" w14:textId="77777777" w:rsidR="00222BB0" w:rsidRPr="00222BB0" w:rsidRDefault="00222BB0" w:rsidP="00222BB0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Social investment</w:t>
            </w:r>
          </w:p>
        </w:tc>
        <w:tc>
          <w:tcPr>
            <w:tcW w:w="1843" w:type="dxa"/>
            <w:noWrap/>
            <w:hideMark/>
          </w:tcPr>
          <w:p w14:paraId="65841BAC" w14:textId="28590740" w:rsidR="00222BB0" w:rsidRPr="00222BB0" w:rsidRDefault="00222BB0" w:rsidP="00222BB0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>7,101</w:t>
            </w:r>
          </w:p>
        </w:tc>
        <w:tc>
          <w:tcPr>
            <w:tcW w:w="284" w:type="dxa"/>
            <w:noWrap/>
            <w:hideMark/>
          </w:tcPr>
          <w:p w14:paraId="18268B6D" w14:textId="77777777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14:paraId="19BF8454" w14:textId="3D217ED3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7,411</w:t>
            </w:r>
          </w:p>
        </w:tc>
      </w:tr>
      <w:tr w:rsidR="00222BB0" w:rsidRPr="00A5548B" w14:paraId="19E83A61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5018BC42" w14:textId="77777777" w:rsidR="00222BB0" w:rsidRPr="00222BB0" w:rsidRDefault="00222BB0" w:rsidP="00222BB0">
            <w:pPr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Other investments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5FFB11D5" w14:textId="65F54836" w:rsidR="00222BB0" w:rsidRPr="00222BB0" w:rsidRDefault="00222BB0" w:rsidP="00222BB0">
            <w:pPr>
              <w:jc w:val="right"/>
              <w:rPr>
                <w:sz w:val="20"/>
                <w:szCs w:val="20"/>
                <w:highlight w:val="yellow"/>
              </w:rPr>
            </w:pPr>
            <w:r w:rsidRPr="00222BB0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84" w:type="dxa"/>
            <w:noWrap/>
            <w:hideMark/>
          </w:tcPr>
          <w:p w14:paraId="3DE7FAC3" w14:textId="77777777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078BD147" w14:textId="50662E10" w:rsidR="00222BB0" w:rsidRPr="00222BB0" w:rsidRDefault="00222BB0" w:rsidP="00222BB0">
            <w:pPr>
              <w:jc w:val="right"/>
              <w:rPr>
                <w:sz w:val="20"/>
                <w:szCs w:val="20"/>
              </w:rPr>
            </w:pPr>
            <w:r w:rsidRPr="00222BB0">
              <w:rPr>
                <w:sz w:val="20"/>
                <w:szCs w:val="20"/>
              </w:rPr>
              <w:t>230</w:t>
            </w:r>
          </w:p>
        </w:tc>
      </w:tr>
      <w:tr w:rsidR="00A5548B" w:rsidRPr="00A5548B" w14:paraId="70F7BF1F" w14:textId="77777777" w:rsidTr="00A5548B">
        <w:trPr>
          <w:trHeight w:val="290"/>
        </w:trPr>
        <w:tc>
          <w:tcPr>
            <w:tcW w:w="6232" w:type="dxa"/>
            <w:noWrap/>
            <w:hideMark/>
          </w:tcPr>
          <w:p w14:paraId="7D146DCE" w14:textId="77777777" w:rsidR="00A5548B" w:rsidRPr="00222BB0" w:rsidRDefault="00A5548B" w:rsidP="00A554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C57E7C" w14:textId="786A6875" w:rsidR="00A5548B" w:rsidRPr="00222BB0" w:rsidRDefault="00222BB0" w:rsidP="00A5548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222BB0">
              <w:rPr>
                <w:b/>
                <w:bCs/>
                <w:sz w:val="20"/>
                <w:szCs w:val="20"/>
              </w:rPr>
              <w:t>360,674</w:t>
            </w:r>
          </w:p>
        </w:tc>
        <w:tc>
          <w:tcPr>
            <w:tcW w:w="284" w:type="dxa"/>
            <w:noWrap/>
            <w:hideMark/>
          </w:tcPr>
          <w:p w14:paraId="1A921E43" w14:textId="77777777" w:rsidR="00A5548B" w:rsidRPr="00222BB0" w:rsidRDefault="00A5548B" w:rsidP="00A554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9FA131" w14:textId="132133A9" w:rsidR="00A5548B" w:rsidRPr="00222BB0" w:rsidRDefault="002379B7" w:rsidP="00A5548B">
            <w:pPr>
              <w:jc w:val="right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495,870</w:t>
            </w:r>
          </w:p>
        </w:tc>
      </w:tr>
      <w:tr w:rsidR="00A5548B" w:rsidRPr="00A5548B" w14:paraId="5E7623DC" w14:textId="77777777" w:rsidTr="00A5548B">
        <w:trPr>
          <w:trHeight w:val="300"/>
        </w:trPr>
        <w:tc>
          <w:tcPr>
            <w:tcW w:w="6232" w:type="dxa"/>
            <w:noWrap/>
            <w:hideMark/>
          </w:tcPr>
          <w:p w14:paraId="6B6BFEDF" w14:textId="77777777" w:rsidR="00A5548B" w:rsidRPr="00222BB0" w:rsidRDefault="00A5548B" w:rsidP="00A554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1D9F88" w14:textId="77777777" w:rsidR="00A5548B" w:rsidRPr="00222BB0" w:rsidRDefault="00A5548B" w:rsidP="00A5548B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noWrap/>
            <w:hideMark/>
          </w:tcPr>
          <w:p w14:paraId="707DFB3F" w14:textId="77777777" w:rsidR="00A5548B" w:rsidRPr="00222BB0" w:rsidRDefault="00A5548B" w:rsidP="00A554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1C8DBC" w14:textId="77777777" w:rsidR="00A5548B" w:rsidRPr="00222BB0" w:rsidRDefault="00A5548B" w:rsidP="00A5548B">
            <w:pPr>
              <w:jc w:val="right"/>
              <w:rPr>
                <w:sz w:val="20"/>
                <w:szCs w:val="20"/>
              </w:rPr>
            </w:pPr>
          </w:p>
        </w:tc>
      </w:tr>
      <w:tr w:rsidR="00A5548B" w:rsidRPr="00A5548B" w14:paraId="70DB645A" w14:textId="77777777" w:rsidTr="00A5548B">
        <w:trPr>
          <w:trHeight w:val="300"/>
        </w:trPr>
        <w:tc>
          <w:tcPr>
            <w:tcW w:w="6232" w:type="dxa"/>
            <w:noWrap/>
            <w:hideMark/>
          </w:tcPr>
          <w:p w14:paraId="754AA275" w14:textId="77777777" w:rsidR="00A5548B" w:rsidRPr="00222BB0" w:rsidRDefault="00A5548B" w:rsidP="00A5548B">
            <w:pPr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Total investment assets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476627" w14:textId="2DE0173B" w:rsidR="00A5548B" w:rsidRPr="00222BB0" w:rsidRDefault="00222BB0" w:rsidP="00A5548B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222BB0">
              <w:rPr>
                <w:b/>
                <w:bCs/>
                <w:sz w:val="20"/>
                <w:szCs w:val="20"/>
              </w:rPr>
              <w:t>938,255</w:t>
            </w:r>
          </w:p>
        </w:tc>
        <w:tc>
          <w:tcPr>
            <w:tcW w:w="284" w:type="dxa"/>
            <w:noWrap/>
            <w:hideMark/>
          </w:tcPr>
          <w:p w14:paraId="0D26C58E" w14:textId="77777777" w:rsidR="00A5548B" w:rsidRPr="00222BB0" w:rsidRDefault="00A5548B" w:rsidP="00A5548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7594D5" w14:textId="535DA433" w:rsidR="00A5548B" w:rsidRPr="00222BB0" w:rsidRDefault="002379B7" w:rsidP="00A5548B">
            <w:pPr>
              <w:jc w:val="right"/>
              <w:rPr>
                <w:b/>
                <w:bCs/>
                <w:sz w:val="20"/>
                <w:szCs w:val="20"/>
              </w:rPr>
            </w:pPr>
            <w:r w:rsidRPr="00222BB0">
              <w:rPr>
                <w:b/>
                <w:bCs/>
                <w:sz w:val="20"/>
                <w:szCs w:val="20"/>
              </w:rPr>
              <w:t>1,050,244</w:t>
            </w:r>
          </w:p>
        </w:tc>
      </w:tr>
    </w:tbl>
    <w:p w14:paraId="300B7AB4" w14:textId="7D34EF9F" w:rsidR="00430DEB" w:rsidRDefault="00430DEB"/>
    <w:p w14:paraId="72D9B3B3" w14:textId="77777777" w:rsidR="00430DEB" w:rsidRDefault="00430DEB">
      <w:r>
        <w:br w:type="page"/>
      </w:r>
    </w:p>
    <w:tbl>
      <w:tblPr>
        <w:tblW w:w="10552" w:type="dxa"/>
        <w:tblLook w:val="04A0" w:firstRow="1" w:lastRow="0" w:firstColumn="1" w:lastColumn="0" w:noHBand="0" w:noVBand="1"/>
      </w:tblPr>
      <w:tblGrid>
        <w:gridCol w:w="10552"/>
      </w:tblGrid>
      <w:tr w:rsidR="007747CF" w:rsidRPr="00430DEB" w14:paraId="065DE419" w14:textId="77777777" w:rsidTr="007747CF">
        <w:trPr>
          <w:trHeight w:val="290"/>
        </w:trPr>
        <w:tc>
          <w:tcPr>
            <w:tcW w:w="10552" w:type="dxa"/>
            <w:shd w:val="clear" w:color="auto" w:fill="auto"/>
            <w:noWrap/>
            <w:vAlign w:val="center"/>
            <w:hideMark/>
          </w:tcPr>
          <w:p w14:paraId="4BA7FB3B" w14:textId="77777777" w:rsidR="007747CF" w:rsidRPr="00430DEB" w:rsidRDefault="007747CF" w:rsidP="00653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430D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lastRenderedPageBreak/>
              <w:t>UNIVERSITY OF EDINBURGH ENDOWMENT AND INVESTMENT FUND</w:t>
            </w:r>
          </w:p>
        </w:tc>
      </w:tr>
      <w:tr w:rsidR="007747CF" w:rsidRPr="00430DEB" w14:paraId="4E5E6A42" w14:textId="77777777" w:rsidTr="007747CF">
        <w:trPr>
          <w:trHeight w:val="480"/>
        </w:trPr>
        <w:tc>
          <w:tcPr>
            <w:tcW w:w="105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044881" w14:textId="77777777" w:rsidR="007747CF" w:rsidRPr="00430DEB" w:rsidRDefault="007747CF" w:rsidP="006534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30D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DIRECT HOLDINGS: BAILLIE GIFFORD </w:t>
            </w:r>
          </w:p>
        </w:tc>
      </w:tr>
    </w:tbl>
    <w:p w14:paraId="2E89F2D0" w14:textId="4135D379" w:rsidR="00A5548B" w:rsidRDefault="00A5548B"/>
    <w:p w14:paraId="52B6732D" w14:textId="0B979750" w:rsidR="00966F1B" w:rsidRDefault="002A195D">
      <w:r w:rsidRPr="002A195D">
        <w:rPr>
          <w:noProof/>
        </w:rPr>
        <w:drawing>
          <wp:inline distT="0" distB="0" distL="0" distR="0" wp14:anchorId="6D95B413" wp14:editId="2D004D79">
            <wp:extent cx="5505450" cy="868663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29" cy="87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DEB">
        <w:br w:type="page"/>
      </w:r>
    </w:p>
    <w:p w14:paraId="78F973EC" w14:textId="77777777" w:rsidR="00F03E10" w:rsidRDefault="00F03E10">
      <w:pPr>
        <w:rPr>
          <w:noProof/>
        </w:rPr>
      </w:pPr>
    </w:p>
    <w:p w14:paraId="3DDA7603" w14:textId="1A53AE24" w:rsidR="00F03E10" w:rsidRPr="00402114" w:rsidRDefault="00F03E10">
      <w:pPr>
        <w:rPr>
          <w:sz w:val="20"/>
          <w:szCs w:val="20"/>
        </w:rPr>
        <w:sectPr w:rsidR="00F03E10" w:rsidRPr="00402114" w:rsidSect="008C5523"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F03E10">
        <w:rPr>
          <w:noProof/>
          <w:sz w:val="20"/>
          <w:szCs w:val="20"/>
        </w:rPr>
        <w:drawing>
          <wp:inline distT="0" distB="0" distL="0" distR="0" wp14:anchorId="174C5A3F" wp14:editId="672EDB15">
            <wp:extent cx="5068007" cy="3791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379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177C0" w14:textId="25D74C8D" w:rsidR="00966F1B" w:rsidRDefault="007D79AA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7D79AA">
        <w:rPr>
          <w:noProof/>
        </w:rPr>
        <w:lastRenderedPageBreak/>
        <w:drawing>
          <wp:inline distT="0" distB="0" distL="0" distR="0" wp14:anchorId="41A0FA77" wp14:editId="02E1C4B0">
            <wp:extent cx="3873500" cy="6775471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015" cy="678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E560" w14:textId="77777777" w:rsidR="00966F1B" w:rsidRDefault="00966F1B" w:rsidP="00966F1B">
      <w:pPr>
        <w:rPr>
          <w:sz w:val="20"/>
          <w:szCs w:val="20"/>
        </w:rPr>
      </w:pPr>
    </w:p>
    <w:p w14:paraId="721B91E7" w14:textId="69C7BCCB" w:rsidR="00966F1B" w:rsidRDefault="00966F1B" w:rsidP="00966F1B">
      <w:pPr>
        <w:rPr>
          <w:sz w:val="20"/>
          <w:szCs w:val="20"/>
        </w:rPr>
      </w:pPr>
      <w:r w:rsidRPr="00402114">
        <w:rPr>
          <w:sz w:val="20"/>
          <w:szCs w:val="20"/>
        </w:rPr>
        <w:t xml:space="preserve">See following pages for </w:t>
      </w:r>
      <w:r>
        <w:rPr>
          <w:sz w:val="20"/>
          <w:szCs w:val="20"/>
        </w:rPr>
        <w:t>information on</w:t>
      </w:r>
      <w:r w:rsidRPr="00402114">
        <w:rPr>
          <w:sz w:val="20"/>
          <w:szCs w:val="20"/>
        </w:rPr>
        <w:t xml:space="preserve"> the type of funds invested in indirect investments</w:t>
      </w:r>
      <w:r w:rsidR="00D0277B">
        <w:rPr>
          <w:sz w:val="20"/>
          <w:szCs w:val="20"/>
        </w:rPr>
        <w:t>.</w:t>
      </w:r>
      <w:r w:rsidR="004C648C">
        <w:rPr>
          <w:sz w:val="20"/>
          <w:szCs w:val="20"/>
        </w:rPr>
        <w:t xml:space="preserve"> Please note, the above investment listings are from the unaudited financial statements and therefore may be subject to change.</w:t>
      </w:r>
    </w:p>
    <w:p w14:paraId="5A295BC7" w14:textId="7B757F4C" w:rsidR="00966F1B" w:rsidRDefault="00966F1B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br w:type="page"/>
      </w:r>
    </w:p>
    <w:p w14:paraId="4B74CE7E" w14:textId="77777777" w:rsidR="00E87DB4" w:rsidRDefault="00CF7C6D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323F91">
        <w:rPr>
          <w:rFonts w:ascii="Calibri" w:eastAsia="Times New Roman" w:hAnsi="Calibri" w:cs="Times New Roman"/>
          <w:b/>
          <w:bCs/>
          <w:color w:val="000000"/>
          <w:lang w:eastAsia="en-GB"/>
        </w:rPr>
        <w:lastRenderedPageBreak/>
        <w:t>BLACKROCK</w:t>
      </w:r>
      <w:r w:rsidR="003E2C0E" w:rsidRPr="00323F91">
        <w:rPr>
          <w:rFonts w:ascii="Calibri" w:eastAsia="Times New Roman" w:hAnsi="Calibri" w:cs="Calibri"/>
          <w:color w:val="000000"/>
          <w:sz w:val="18"/>
          <w:szCs w:val="18"/>
          <w:lang w:eastAsia="en-GB"/>
        </w:rPr>
        <w:t xml:space="preserve"> </w:t>
      </w:r>
      <w:r w:rsidR="003E2C0E" w:rsidRPr="00323F91">
        <w:rPr>
          <w:rFonts w:ascii="Calibri" w:eastAsia="Times New Roman" w:hAnsi="Calibri" w:cs="Times New Roman"/>
          <w:b/>
          <w:bCs/>
          <w:color w:val="000000"/>
          <w:lang w:eastAsia="en-GB"/>
        </w:rPr>
        <w:t>MSCI WORLD VALUE FACTOR ESG</w:t>
      </w:r>
      <w:r w:rsidR="00E87DB4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</w:t>
      </w:r>
    </w:p>
    <w:p w14:paraId="2EDAA77E" w14:textId="19480ED4" w:rsidR="00CF7C6D" w:rsidRDefault="00E87DB4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222BB0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As at 31 </w:t>
      </w:r>
      <w:r w:rsidR="00222BB0" w:rsidRPr="00222BB0">
        <w:rPr>
          <w:rFonts w:ascii="Calibri" w:eastAsia="Times New Roman" w:hAnsi="Calibri" w:cs="Times New Roman"/>
          <w:b/>
          <w:bCs/>
          <w:color w:val="000000"/>
          <w:lang w:eastAsia="en-GB"/>
        </w:rPr>
        <w:t>July</w:t>
      </w:r>
      <w:r w:rsidRPr="00222BB0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2025</w:t>
      </w:r>
    </w:p>
    <w:p w14:paraId="55BBA57F" w14:textId="13B85464" w:rsidR="00323F91" w:rsidRDefault="00222BB0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222BB0">
        <w:rPr>
          <w:rFonts w:ascii="Calibri" w:eastAsia="Times New Roman" w:hAnsi="Calibri" w:cs="Times New Roman"/>
          <w:b/>
          <w:bCs/>
          <w:noProof/>
          <w:color w:val="000000"/>
          <w:lang w:eastAsia="en-GB"/>
        </w:rPr>
        <w:drawing>
          <wp:inline distT="0" distB="0" distL="0" distR="0" wp14:anchorId="218A2C2A" wp14:editId="469B4F3A">
            <wp:extent cx="4814848" cy="286385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7328" cy="28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8D382" w14:textId="77777777" w:rsidR="00CF7C6D" w:rsidRDefault="00CF7C6D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</w:p>
    <w:p w14:paraId="68BBB615" w14:textId="3DDF07E1" w:rsidR="006D5E22" w:rsidRDefault="006D5E22" w:rsidP="006D5E22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323F91">
        <w:rPr>
          <w:rFonts w:ascii="Calibri" w:eastAsia="Times New Roman" w:hAnsi="Calibri" w:cs="Times New Roman"/>
          <w:b/>
          <w:bCs/>
          <w:color w:val="000000"/>
          <w:lang w:eastAsia="en-GB"/>
        </w:rPr>
        <w:t>HERMES</w:t>
      </w:r>
    </w:p>
    <w:p w14:paraId="303E28F1" w14:textId="7DCF8D0D" w:rsidR="00E87DB4" w:rsidRPr="00E87DB4" w:rsidRDefault="00E87DB4" w:rsidP="006D5E22">
      <w:pPr>
        <w:rPr>
          <w:b/>
        </w:rPr>
      </w:pPr>
      <w:r>
        <w:rPr>
          <w:b/>
        </w:rPr>
        <w:t xml:space="preserve">As at 31 </w:t>
      </w:r>
      <w:r w:rsidR="00222BB0">
        <w:rPr>
          <w:b/>
        </w:rPr>
        <w:t>March</w:t>
      </w:r>
      <w:r>
        <w:rPr>
          <w:b/>
        </w:rPr>
        <w:t xml:space="preserve"> 202</w:t>
      </w:r>
      <w:r w:rsidR="00222BB0">
        <w:rPr>
          <w:b/>
        </w:rPr>
        <w:t>5</w:t>
      </w:r>
    </w:p>
    <w:p w14:paraId="206FFB77" w14:textId="030EC69F" w:rsidR="00222BB0" w:rsidRDefault="00222BB0" w:rsidP="0012072E">
      <w:pPr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222BB0">
        <w:rPr>
          <w:rFonts w:ascii="Calibri" w:eastAsia="Times New Roman" w:hAnsi="Calibri" w:cs="Times New Roman"/>
          <w:b/>
          <w:bCs/>
          <w:noProof/>
          <w:color w:val="000000"/>
          <w:lang w:eastAsia="en-GB"/>
        </w:rPr>
        <w:drawing>
          <wp:inline distT="0" distB="0" distL="0" distR="0" wp14:anchorId="1D000C2D" wp14:editId="25DFD71E">
            <wp:extent cx="3896269" cy="3505689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350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ABB3B" w14:textId="77777777" w:rsidR="00222BB0" w:rsidRDefault="00222BB0">
      <w:pPr>
        <w:rPr>
          <w:b/>
        </w:rPr>
      </w:pPr>
      <w:r>
        <w:rPr>
          <w:b/>
        </w:rPr>
        <w:br w:type="page"/>
      </w:r>
    </w:p>
    <w:p w14:paraId="6DFDAE6E" w14:textId="68E672B0" w:rsidR="0012072E" w:rsidRDefault="0012072E" w:rsidP="0012072E">
      <w:pPr>
        <w:rPr>
          <w:b/>
        </w:rPr>
      </w:pPr>
      <w:r w:rsidRPr="00E87DB4">
        <w:rPr>
          <w:b/>
        </w:rPr>
        <w:lastRenderedPageBreak/>
        <w:t>M&amp;G</w:t>
      </w:r>
    </w:p>
    <w:p w14:paraId="6F7D5F5B" w14:textId="73F8AA01" w:rsidR="00E87DB4" w:rsidRDefault="00E87DB4" w:rsidP="0012072E">
      <w:pPr>
        <w:rPr>
          <w:b/>
        </w:rPr>
      </w:pPr>
      <w:r>
        <w:rPr>
          <w:b/>
        </w:rPr>
        <w:t>As at 3</w:t>
      </w:r>
      <w:r w:rsidR="00222BB0">
        <w:rPr>
          <w:b/>
        </w:rPr>
        <w:t xml:space="preserve">0 June </w:t>
      </w:r>
      <w:r>
        <w:rPr>
          <w:b/>
        </w:rPr>
        <w:t>202</w:t>
      </w:r>
      <w:r w:rsidR="00222BB0">
        <w:rPr>
          <w:b/>
        </w:rPr>
        <w:t>5</w:t>
      </w:r>
    </w:p>
    <w:p w14:paraId="1A4BBF5B" w14:textId="0CA731BD" w:rsidR="00642A34" w:rsidRDefault="00222BB0" w:rsidP="0012072E">
      <w:pPr>
        <w:rPr>
          <w:b/>
        </w:rPr>
      </w:pPr>
      <w:r w:rsidRPr="00222BB0">
        <w:rPr>
          <w:b/>
          <w:noProof/>
        </w:rPr>
        <w:drawing>
          <wp:inline distT="0" distB="0" distL="0" distR="0" wp14:anchorId="052BE952" wp14:editId="00A2911C">
            <wp:extent cx="3743847" cy="4096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9AE6B" w14:textId="5623E0FF" w:rsidR="00AB5386" w:rsidRDefault="00AB5386" w:rsidP="0012072E">
      <w:pPr>
        <w:rPr>
          <w:b/>
        </w:rPr>
      </w:pPr>
    </w:p>
    <w:p w14:paraId="4C450D78" w14:textId="17BA0BCE" w:rsidR="00AC1324" w:rsidRDefault="00AC1324" w:rsidP="0012072E">
      <w:pPr>
        <w:rPr>
          <w:b/>
        </w:rPr>
      </w:pPr>
      <w:r w:rsidRPr="00323F91">
        <w:rPr>
          <w:b/>
        </w:rPr>
        <w:t>MERCER PASSIVE SUSTAINABLE GLOBAL EQUITY</w:t>
      </w:r>
    </w:p>
    <w:p w14:paraId="5763A05F" w14:textId="431D0396" w:rsidR="00F43FFD" w:rsidRDefault="00F43FFD" w:rsidP="0012072E">
      <w:pPr>
        <w:rPr>
          <w:b/>
        </w:rPr>
      </w:pPr>
      <w:r>
        <w:rPr>
          <w:b/>
        </w:rPr>
        <w:t>As at 3</w:t>
      </w:r>
      <w:r w:rsidR="00222BB0">
        <w:rPr>
          <w:b/>
        </w:rPr>
        <w:t>0</w:t>
      </w:r>
      <w:r>
        <w:rPr>
          <w:b/>
        </w:rPr>
        <w:t xml:space="preserve"> </w:t>
      </w:r>
      <w:r w:rsidR="00222BB0">
        <w:rPr>
          <w:b/>
        </w:rPr>
        <w:t>June 2025</w:t>
      </w:r>
    </w:p>
    <w:p w14:paraId="27C0ADFD" w14:textId="7F2CD9A2" w:rsidR="00323F91" w:rsidRDefault="00222BB0">
      <w:pPr>
        <w:rPr>
          <w:b/>
        </w:rPr>
      </w:pPr>
      <w:r w:rsidRPr="00222BB0">
        <w:rPr>
          <w:b/>
          <w:noProof/>
        </w:rPr>
        <w:drawing>
          <wp:inline distT="0" distB="0" distL="0" distR="0" wp14:anchorId="76A621BF" wp14:editId="2D7B6E2B">
            <wp:extent cx="3683000" cy="2635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7503" cy="263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5192" w14:textId="77777777" w:rsidR="00F43FFD" w:rsidRPr="00F43FFD" w:rsidRDefault="00F43FFD">
      <w:pPr>
        <w:rPr>
          <w:b/>
        </w:rPr>
      </w:pPr>
    </w:p>
    <w:p w14:paraId="0D7423ED" w14:textId="77777777" w:rsidR="00222BB0" w:rsidRDefault="00222BB0">
      <w:pPr>
        <w:rPr>
          <w:b/>
        </w:rPr>
      </w:pPr>
      <w:r>
        <w:rPr>
          <w:b/>
        </w:rPr>
        <w:br w:type="page"/>
      </w:r>
    </w:p>
    <w:p w14:paraId="461FE8BD" w14:textId="4B1F5E5E" w:rsidR="00AC1324" w:rsidRDefault="00AC1324">
      <w:pPr>
        <w:rPr>
          <w:b/>
          <w:noProof/>
          <w:lang w:eastAsia="en-GB"/>
        </w:rPr>
      </w:pPr>
      <w:r w:rsidRPr="00323F91">
        <w:rPr>
          <w:b/>
        </w:rPr>
        <w:lastRenderedPageBreak/>
        <w:t>MERCER PIP IV SUSTAINABLE OPPORTUNITIES</w:t>
      </w:r>
      <w:r>
        <w:rPr>
          <w:b/>
          <w:noProof/>
          <w:lang w:eastAsia="en-GB"/>
        </w:rPr>
        <w:t xml:space="preserve"> </w:t>
      </w:r>
    </w:p>
    <w:p w14:paraId="69A75DDC" w14:textId="282F4242" w:rsidR="00F43FFD" w:rsidRDefault="00F43FFD" w:rsidP="00F43FFD">
      <w:pPr>
        <w:rPr>
          <w:b/>
        </w:rPr>
      </w:pPr>
      <w:r>
        <w:rPr>
          <w:b/>
        </w:rPr>
        <w:t xml:space="preserve">As at 31 </w:t>
      </w:r>
      <w:r w:rsidR="00222BB0">
        <w:rPr>
          <w:b/>
        </w:rPr>
        <w:t>March 2025</w:t>
      </w:r>
    </w:p>
    <w:p w14:paraId="189DFBBE" w14:textId="565A1EEB" w:rsidR="00323F91" w:rsidRDefault="00222BB0">
      <w:pPr>
        <w:rPr>
          <w:b/>
          <w:noProof/>
          <w:lang w:eastAsia="en-GB"/>
        </w:rPr>
      </w:pPr>
      <w:r w:rsidRPr="00222BB0">
        <w:rPr>
          <w:b/>
          <w:noProof/>
          <w:lang w:eastAsia="en-GB"/>
        </w:rPr>
        <w:drawing>
          <wp:inline distT="0" distB="0" distL="0" distR="0" wp14:anchorId="5A60F0B1" wp14:editId="08588857">
            <wp:extent cx="6242050" cy="1712220"/>
            <wp:effectExtent l="0" t="0" r="635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6852" cy="171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BBADB" w14:textId="77777777" w:rsidR="002D542B" w:rsidRDefault="002D542B">
      <w:pPr>
        <w:rPr>
          <w:b/>
          <w:noProof/>
          <w:lang w:eastAsia="en-GB"/>
        </w:rPr>
      </w:pPr>
    </w:p>
    <w:p w14:paraId="740C0BDE" w14:textId="44C452C1" w:rsidR="00550B27" w:rsidRDefault="00550B27">
      <w:pPr>
        <w:rPr>
          <w:b/>
        </w:rPr>
      </w:pPr>
      <w:r w:rsidRPr="00323F91">
        <w:rPr>
          <w:b/>
        </w:rPr>
        <w:t>NORDEA</w:t>
      </w:r>
    </w:p>
    <w:p w14:paraId="3AA7A05D" w14:textId="7FA67236" w:rsidR="00F43FFD" w:rsidRDefault="00F43FFD">
      <w:pPr>
        <w:rPr>
          <w:b/>
        </w:rPr>
      </w:pPr>
      <w:r>
        <w:rPr>
          <w:b/>
        </w:rPr>
        <w:t>As at 3</w:t>
      </w:r>
      <w:r w:rsidR="00222BB0">
        <w:rPr>
          <w:b/>
        </w:rPr>
        <w:t>0 June 2025</w:t>
      </w:r>
    </w:p>
    <w:p w14:paraId="088BA1E6" w14:textId="6B3189C3" w:rsidR="00221F3C" w:rsidRDefault="00222BB0">
      <w:pPr>
        <w:rPr>
          <w:b/>
        </w:rPr>
      </w:pPr>
      <w:r w:rsidRPr="00222BB0">
        <w:rPr>
          <w:b/>
          <w:noProof/>
        </w:rPr>
        <w:drawing>
          <wp:inline distT="0" distB="0" distL="0" distR="0" wp14:anchorId="667EDD39" wp14:editId="2BF9B664">
            <wp:extent cx="5811061" cy="142894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142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B5E7F" w14:textId="782155D9" w:rsidR="003E2C0E" w:rsidRDefault="003E2C0E">
      <w:pPr>
        <w:rPr>
          <w:b/>
        </w:rPr>
      </w:pPr>
    </w:p>
    <w:p w14:paraId="6F952186" w14:textId="40C48BDA" w:rsidR="0012072E" w:rsidRDefault="0012072E" w:rsidP="0012072E">
      <w:pPr>
        <w:rPr>
          <w:b/>
        </w:rPr>
      </w:pPr>
      <w:r w:rsidRPr="00323F91">
        <w:rPr>
          <w:b/>
        </w:rPr>
        <w:t>NORTHERN TRUST</w:t>
      </w:r>
    </w:p>
    <w:p w14:paraId="5A468DF0" w14:textId="77777777" w:rsidR="00D0277B" w:rsidRDefault="00D0277B" w:rsidP="00D0277B">
      <w:pPr>
        <w:rPr>
          <w:b/>
        </w:rPr>
      </w:pPr>
      <w:r>
        <w:rPr>
          <w:b/>
        </w:rPr>
        <w:t>As at 30 June 2025</w:t>
      </w:r>
    </w:p>
    <w:p w14:paraId="719F4913" w14:textId="1A31D3DA" w:rsidR="00221F3C" w:rsidRDefault="00D0277B" w:rsidP="0012072E">
      <w:pPr>
        <w:rPr>
          <w:b/>
        </w:rPr>
      </w:pPr>
      <w:r w:rsidRPr="00D0277B">
        <w:rPr>
          <w:b/>
          <w:noProof/>
        </w:rPr>
        <w:drawing>
          <wp:inline distT="0" distB="0" distL="0" distR="0" wp14:anchorId="049921D9" wp14:editId="01B43889">
            <wp:extent cx="5239481" cy="2848373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DC21" w14:textId="77777777" w:rsidR="00221F3C" w:rsidRDefault="00221F3C" w:rsidP="0012072E">
      <w:pPr>
        <w:rPr>
          <w:b/>
        </w:rPr>
      </w:pPr>
    </w:p>
    <w:p w14:paraId="1581762D" w14:textId="77777777" w:rsidR="00323F91" w:rsidRDefault="00323F9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DFAB284" w14:textId="4C56FEDE" w:rsidR="007C5BD1" w:rsidRDefault="007C5BD1">
      <w:pPr>
        <w:rPr>
          <w:b/>
        </w:rPr>
      </w:pPr>
      <w:r w:rsidRPr="00323F91">
        <w:rPr>
          <w:b/>
        </w:rPr>
        <w:lastRenderedPageBreak/>
        <w:t>PENTECH</w:t>
      </w:r>
    </w:p>
    <w:p w14:paraId="407C6C35" w14:textId="03275920" w:rsidR="00D0277B" w:rsidRDefault="00D0277B">
      <w:pPr>
        <w:rPr>
          <w:b/>
        </w:rPr>
      </w:pPr>
      <w:r>
        <w:rPr>
          <w:b/>
        </w:rPr>
        <w:t>As at 30 June 2025</w:t>
      </w:r>
    </w:p>
    <w:p w14:paraId="552374A2" w14:textId="478A4BAC" w:rsidR="00271902" w:rsidRDefault="00D0277B">
      <w:pPr>
        <w:rPr>
          <w:b/>
        </w:rPr>
      </w:pPr>
      <w:r w:rsidRPr="00D0277B">
        <w:rPr>
          <w:b/>
          <w:noProof/>
        </w:rPr>
        <w:drawing>
          <wp:inline distT="0" distB="0" distL="0" distR="0" wp14:anchorId="1F85E22C" wp14:editId="29C2925B">
            <wp:extent cx="4466403" cy="43561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3158" cy="43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156F" w14:textId="1F5E88D5" w:rsidR="00323F91" w:rsidRDefault="00323F91">
      <w:pPr>
        <w:rPr>
          <w:b/>
          <w:highlight w:val="yellow"/>
        </w:rPr>
      </w:pPr>
    </w:p>
    <w:p w14:paraId="49E794AC" w14:textId="792740DD" w:rsidR="007C5BD1" w:rsidRDefault="007C5BD1">
      <w:pPr>
        <w:rPr>
          <w:b/>
        </w:rPr>
      </w:pPr>
      <w:r w:rsidRPr="00323F91">
        <w:rPr>
          <w:b/>
        </w:rPr>
        <w:t>WELLINGTON</w:t>
      </w:r>
    </w:p>
    <w:p w14:paraId="71F05618" w14:textId="72C89235" w:rsidR="00D0277B" w:rsidRDefault="00D0277B">
      <w:pPr>
        <w:rPr>
          <w:b/>
        </w:rPr>
      </w:pPr>
      <w:r>
        <w:rPr>
          <w:b/>
        </w:rPr>
        <w:t>As at 30 June 2025</w:t>
      </w:r>
    </w:p>
    <w:p w14:paraId="77CF2CFA" w14:textId="690B605F" w:rsidR="00271902" w:rsidRDefault="00D0277B">
      <w:pPr>
        <w:rPr>
          <w:b/>
        </w:rPr>
      </w:pPr>
      <w:r w:rsidRPr="00D0277B">
        <w:rPr>
          <w:b/>
          <w:noProof/>
        </w:rPr>
        <w:drawing>
          <wp:inline distT="0" distB="0" distL="0" distR="0" wp14:anchorId="747D051C" wp14:editId="42E4CECE">
            <wp:extent cx="6635750" cy="249848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257" cy="25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9FF5" w14:textId="139DEF19" w:rsidR="005E6A7A" w:rsidRDefault="005E6A7A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CEA3EAA" w14:textId="77777777" w:rsidR="00D0277B" w:rsidRDefault="00D0277B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7839EC2" w14:textId="77777777" w:rsidR="005E6A7A" w:rsidRDefault="005E6A7A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179373A" w14:textId="77777777" w:rsidR="005E6A7A" w:rsidRDefault="005E6A7A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A8D003B" w14:textId="273A008D" w:rsidR="00F34920" w:rsidRDefault="00F34920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F34920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MI TWENTYFOUR INVESTMENT FUNDS – MONUMENT BOND FUND</w:t>
      </w:r>
    </w:p>
    <w:p w14:paraId="7733E7BA" w14:textId="77777777" w:rsidR="00710DC4" w:rsidRDefault="00710DC4" w:rsidP="00F3492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A474F5F" w14:textId="530F2DE7" w:rsidR="00F34920" w:rsidRPr="00D0277B" w:rsidRDefault="00D0277B" w:rsidP="00D0277B">
      <w:pPr>
        <w:rPr>
          <w:b/>
        </w:rPr>
      </w:pPr>
      <w:r>
        <w:rPr>
          <w:b/>
        </w:rPr>
        <w:t>As at 31 July 2025</w:t>
      </w:r>
    </w:p>
    <w:p w14:paraId="20FDFE8C" w14:textId="4A9A15AF" w:rsidR="00AD0DFF" w:rsidRDefault="00D0277B">
      <w:pPr>
        <w:rPr>
          <w:b/>
        </w:rPr>
      </w:pPr>
      <w:r w:rsidRPr="00D0277B">
        <w:rPr>
          <w:b/>
          <w:noProof/>
        </w:rPr>
        <w:drawing>
          <wp:inline distT="0" distB="0" distL="0" distR="0" wp14:anchorId="143EBADC" wp14:editId="48069E53">
            <wp:extent cx="6165850" cy="2706072"/>
            <wp:effectExtent l="0" t="0" r="635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70747" cy="270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DDABB" w14:textId="77777777" w:rsidR="004E39C0" w:rsidRDefault="004E39C0" w:rsidP="004E39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A50BC35" w14:textId="3049E4F6" w:rsidR="004E39C0" w:rsidRDefault="004E39C0" w:rsidP="004E39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4E39C0">
        <w:rPr>
          <w:rFonts w:ascii="Calibri" w:eastAsia="Times New Roman" w:hAnsi="Calibri" w:cs="Calibri"/>
          <w:b/>
          <w:bCs/>
          <w:color w:val="000000"/>
          <w:lang w:eastAsia="en-GB"/>
        </w:rPr>
        <w:t>AEGON EUROPEAN ABS FUND I GBP HDG</w:t>
      </w:r>
    </w:p>
    <w:p w14:paraId="1DE16F8F" w14:textId="77777777" w:rsidR="00710DC4" w:rsidRDefault="00710DC4" w:rsidP="004E39C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19E59DA" w14:textId="226A58F0" w:rsidR="004E39C0" w:rsidRPr="00D0277B" w:rsidRDefault="00D0277B" w:rsidP="00D0277B">
      <w:pPr>
        <w:rPr>
          <w:b/>
        </w:rPr>
      </w:pPr>
      <w:r>
        <w:rPr>
          <w:b/>
        </w:rPr>
        <w:t>As at 30 June 2025</w:t>
      </w:r>
    </w:p>
    <w:p w14:paraId="58C6E68F" w14:textId="5C2CB4CA" w:rsidR="004E39C0" w:rsidRDefault="00D0277B">
      <w:pPr>
        <w:rPr>
          <w:b/>
        </w:rPr>
      </w:pPr>
      <w:r w:rsidRPr="00D0277B">
        <w:rPr>
          <w:b/>
          <w:noProof/>
        </w:rPr>
        <w:drawing>
          <wp:inline distT="0" distB="0" distL="0" distR="0" wp14:anchorId="3A208CBD" wp14:editId="6D95546B">
            <wp:extent cx="4514850" cy="311003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8160" cy="311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9C0" w:rsidSect="0050051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9D"/>
    <w:rsid w:val="000513BF"/>
    <w:rsid w:val="00097DDC"/>
    <w:rsid w:val="000C2166"/>
    <w:rsid w:val="000F3CDA"/>
    <w:rsid w:val="000F6DC5"/>
    <w:rsid w:val="0012072E"/>
    <w:rsid w:val="00130104"/>
    <w:rsid w:val="00166B74"/>
    <w:rsid w:val="00180433"/>
    <w:rsid w:val="00184EDB"/>
    <w:rsid w:val="001D381E"/>
    <w:rsid w:val="001E47A0"/>
    <w:rsid w:val="001F0248"/>
    <w:rsid w:val="00221F3C"/>
    <w:rsid w:val="00222BB0"/>
    <w:rsid w:val="002379B7"/>
    <w:rsid w:val="00257256"/>
    <w:rsid w:val="00271902"/>
    <w:rsid w:val="00284D97"/>
    <w:rsid w:val="002966BF"/>
    <w:rsid w:val="002A195D"/>
    <w:rsid w:val="002C6EFE"/>
    <w:rsid w:val="002D542B"/>
    <w:rsid w:val="002D5E97"/>
    <w:rsid w:val="003205DD"/>
    <w:rsid w:val="0032204F"/>
    <w:rsid w:val="00323F91"/>
    <w:rsid w:val="003251FD"/>
    <w:rsid w:val="00343812"/>
    <w:rsid w:val="003B4251"/>
    <w:rsid w:val="003B653A"/>
    <w:rsid w:val="003B748F"/>
    <w:rsid w:val="003E2907"/>
    <w:rsid w:val="003E2C0E"/>
    <w:rsid w:val="003F5EB9"/>
    <w:rsid w:val="00402114"/>
    <w:rsid w:val="00430DEB"/>
    <w:rsid w:val="004C648C"/>
    <w:rsid w:val="004E39C0"/>
    <w:rsid w:val="004F7CE4"/>
    <w:rsid w:val="0050051B"/>
    <w:rsid w:val="00550B27"/>
    <w:rsid w:val="00562D6F"/>
    <w:rsid w:val="00563EDF"/>
    <w:rsid w:val="005717E7"/>
    <w:rsid w:val="00577ADE"/>
    <w:rsid w:val="0058090A"/>
    <w:rsid w:val="005C5F00"/>
    <w:rsid w:val="005E6A7A"/>
    <w:rsid w:val="00622E6B"/>
    <w:rsid w:val="00636C8D"/>
    <w:rsid w:val="00642A34"/>
    <w:rsid w:val="006A3E8F"/>
    <w:rsid w:val="006A7926"/>
    <w:rsid w:val="006C26CD"/>
    <w:rsid w:val="006D5E22"/>
    <w:rsid w:val="006D746E"/>
    <w:rsid w:val="0071032A"/>
    <w:rsid w:val="00710DC4"/>
    <w:rsid w:val="00723DBB"/>
    <w:rsid w:val="007252B5"/>
    <w:rsid w:val="00747C83"/>
    <w:rsid w:val="007543D0"/>
    <w:rsid w:val="0075624D"/>
    <w:rsid w:val="00760305"/>
    <w:rsid w:val="007747CF"/>
    <w:rsid w:val="0079145F"/>
    <w:rsid w:val="00793021"/>
    <w:rsid w:val="007975A8"/>
    <w:rsid w:val="007C5BD1"/>
    <w:rsid w:val="007D7698"/>
    <w:rsid w:val="007D79AA"/>
    <w:rsid w:val="007F1ECA"/>
    <w:rsid w:val="0080603B"/>
    <w:rsid w:val="008149AE"/>
    <w:rsid w:val="0082654E"/>
    <w:rsid w:val="00830924"/>
    <w:rsid w:val="00834896"/>
    <w:rsid w:val="00843760"/>
    <w:rsid w:val="00856A84"/>
    <w:rsid w:val="00874FD7"/>
    <w:rsid w:val="0088617C"/>
    <w:rsid w:val="008C5523"/>
    <w:rsid w:val="008C558B"/>
    <w:rsid w:val="008D7C27"/>
    <w:rsid w:val="00927C3B"/>
    <w:rsid w:val="00966F1B"/>
    <w:rsid w:val="009747A2"/>
    <w:rsid w:val="0097659C"/>
    <w:rsid w:val="00994488"/>
    <w:rsid w:val="009F0CCA"/>
    <w:rsid w:val="00A42F50"/>
    <w:rsid w:val="00A5548B"/>
    <w:rsid w:val="00A73F3B"/>
    <w:rsid w:val="00A87586"/>
    <w:rsid w:val="00AB5386"/>
    <w:rsid w:val="00AC1125"/>
    <w:rsid w:val="00AC1324"/>
    <w:rsid w:val="00AD0855"/>
    <w:rsid w:val="00AD0DFF"/>
    <w:rsid w:val="00AE1B50"/>
    <w:rsid w:val="00AE5C2A"/>
    <w:rsid w:val="00B50688"/>
    <w:rsid w:val="00B93616"/>
    <w:rsid w:val="00BF28CD"/>
    <w:rsid w:val="00C215CA"/>
    <w:rsid w:val="00C54903"/>
    <w:rsid w:val="00C55E2B"/>
    <w:rsid w:val="00C77A54"/>
    <w:rsid w:val="00C83915"/>
    <w:rsid w:val="00CA10E7"/>
    <w:rsid w:val="00CB1A2A"/>
    <w:rsid w:val="00CC0C71"/>
    <w:rsid w:val="00CE3662"/>
    <w:rsid w:val="00CF7C6D"/>
    <w:rsid w:val="00D0277B"/>
    <w:rsid w:val="00D31FB9"/>
    <w:rsid w:val="00D5201A"/>
    <w:rsid w:val="00D67230"/>
    <w:rsid w:val="00D859B8"/>
    <w:rsid w:val="00DC458B"/>
    <w:rsid w:val="00DD7028"/>
    <w:rsid w:val="00DD7E9D"/>
    <w:rsid w:val="00E004FB"/>
    <w:rsid w:val="00E0350D"/>
    <w:rsid w:val="00E2020A"/>
    <w:rsid w:val="00E25F15"/>
    <w:rsid w:val="00E37193"/>
    <w:rsid w:val="00E41866"/>
    <w:rsid w:val="00E850CC"/>
    <w:rsid w:val="00E87DB4"/>
    <w:rsid w:val="00E97B7D"/>
    <w:rsid w:val="00EA307A"/>
    <w:rsid w:val="00EC47FB"/>
    <w:rsid w:val="00F02570"/>
    <w:rsid w:val="00F03E10"/>
    <w:rsid w:val="00F33B1B"/>
    <w:rsid w:val="00F34920"/>
    <w:rsid w:val="00F43FFD"/>
    <w:rsid w:val="00F647BC"/>
    <w:rsid w:val="00F7598A"/>
    <w:rsid w:val="00F81C62"/>
    <w:rsid w:val="00F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DBC3"/>
  <w15:chartTrackingRefBased/>
  <w15:docId w15:val="{4F659BFD-C69C-420E-83A6-1191F40D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1934-C70F-4483-821A-B15A8AF8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 Lynne</dc:creator>
  <cp:keywords/>
  <dc:description/>
  <cp:lastModifiedBy>Morag Eadie</cp:lastModifiedBy>
  <cp:revision>2</cp:revision>
  <cp:lastPrinted>2018-09-21T11:02:00Z</cp:lastPrinted>
  <dcterms:created xsi:type="dcterms:W3CDTF">2026-03-18T13:25:00Z</dcterms:created>
  <dcterms:modified xsi:type="dcterms:W3CDTF">2026-03-18T13:25:00Z</dcterms:modified>
</cp:coreProperties>
</file>